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19"/>
        <w:gridCol w:w="952"/>
        <w:gridCol w:w="1162"/>
        <w:gridCol w:w="1162"/>
        <w:gridCol w:w="1162"/>
        <w:gridCol w:w="1162"/>
        <w:gridCol w:w="1185"/>
      </w:tblGrid>
      <w:tr w:rsidR="00A53D30" w:rsidRPr="00DB0C21" w14:paraId="33E7EC11" w14:textId="77777777" w:rsidTr="003332E7">
        <w:trPr>
          <w:trHeight w:val="503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8156B4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b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b/>
                <w:kern w:val="0"/>
                <w:sz w:val="20"/>
                <w:szCs w:val="20"/>
              </w:rPr>
              <w:t>Table 2. Susceptibility test of antibiotics (Present case series)</w:t>
            </w:r>
          </w:p>
        </w:tc>
      </w:tr>
      <w:tr w:rsidR="00A53D30" w:rsidRPr="00DB0C21" w14:paraId="500D26CE" w14:textId="77777777" w:rsidTr="003332E7">
        <w:trPr>
          <w:trHeight w:val="870"/>
        </w:trPr>
        <w:tc>
          <w:tcPr>
            <w:tcW w:w="101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581640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Antibiotics/case</w:t>
            </w:r>
          </w:p>
        </w:tc>
        <w:tc>
          <w:tcPr>
            <w:tcW w:w="5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5A796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F1452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F7D5D8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D39B08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EF5A65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6BC26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A53D30" w:rsidRPr="00DB0C21" w14:paraId="0DB1F712" w14:textId="77777777" w:rsidTr="003332E7">
        <w:trPr>
          <w:trHeight w:val="545"/>
        </w:trPr>
        <w:tc>
          <w:tcPr>
            <w:tcW w:w="101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969AAF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Penicillin-G</w:t>
            </w:r>
          </w:p>
        </w:tc>
        <w:tc>
          <w:tcPr>
            <w:tcW w:w="56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B8E9FD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F5748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83AB1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487C76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DB772F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782862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DB0C21" w14:paraId="51B25E90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601B3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Ampicillin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021216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7C9382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33C0EF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7D8171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DBA61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808D1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DB0C21" w14:paraId="082BCC60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E289A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Cefazolin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C7FFF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B2C1C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C1BBF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552BE2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812A36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3D1A6F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</w:tr>
      <w:tr w:rsidR="00A53D30" w:rsidRPr="00DB0C21" w14:paraId="2030FD8A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4C2D42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Ceftriaxone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71012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4666F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E939A6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554AF4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294E9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B858BC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DB0C21" w14:paraId="578BFD8E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7B576D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Meropenem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D59E3B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2408A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6D235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F0D82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A1486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646BE4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DB0C21" w14:paraId="60CE4B8A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8B0C3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Imipenem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60C62A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9F22D5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081C98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3DDD8C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68EDB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758078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</w:tr>
      <w:tr w:rsidR="00A53D30" w:rsidRPr="00DB0C21" w14:paraId="7C9789C9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34E611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Vancomycin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6AFA76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174400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98AA9D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D6111D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5B7BB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A546BD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DB0C21" w14:paraId="2C679088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8DEF0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Erythromycin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171DD5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E042C1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6DBFC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64059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3693AC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CBFAF7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DB0C21" w14:paraId="10FE8D2B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20834A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Clarithromycin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5962C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2F75A3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C0C60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79F640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E8CAD1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B99E66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</w:tr>
      <w:tr w:rsidR="00A53D30" w:rsidRPr="00DB0C21" w14:paraId="20EC3EEC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7A637F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Clindamycin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47AD71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D5ABA1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2628AF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F3C2AD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803F6A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0D93CF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DB0C21" w14:paraId="02BBF9EC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36AB98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Minocycline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61A11D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6EA68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F796C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I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615027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4CB08D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1DD688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DB0C21" w14:paraId="48BE2360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6F9666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Arbekacin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E97B5B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2E3AA7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8CF547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AA921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B43CF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93FF84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NA</w:t>
            </w:r>
          </w:p>
        </w:tc>
      </w:tr>
      <w:tr w:rsidR="00A53D30" w:rsidRPr="00DB0C21" w14:paraId="432737C9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5FEB19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lastRenderedPageBreak/>
              <w:t>Levofloxacin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CAFF7E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B83D58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163820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7417B1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BDA2B6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180FE8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R</w:t>
            </w:r>
          </w:p>
        </w:tc>
      </w:tr>
      <w:tr w:rsidR="00A53D30" w:rsidRPr="00A53D30" w14:paraId="4FF5DBB9" w14:textId="77777777" w:rsidTr="003332E7">
        <w:trPr>
          <w:trHeight w:val="312"/>
        </w:trPr>
        <w:tc>
          <w:tcPr>
            <w:tcW w:w="5000" w:type="pct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93E147" w14:textId="77777777" w:rsidR="00A53D30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 = Sensitive, R = Resistant, I = Intermediate, N/A = Not available</w:t>
            </w:r>
          </w:p>
          <w:p w14:paraId="6AFE49CE" w14:textId="77777777" w:rsidR="00E956DE" w:rsidRPr="00DB0C21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A susceptibility test of antibiotics was performed with the microdilution method at each facility. All results were interpreted according to the Clinical and Laboratory Standards Institute standard method.</w:t>
            </w:r>
          </w:p>
          <w:p w14:paraId="0E3630AB" w14:textId="38625787" w:rsidR="00C5791E" w:rsidRPr="00E956DE" w:rsidRDefault="00C5791E" w:rsidP="00A53D30">
            <w:pPr>
              <w:widowControl/>
              <w:spacing w:after="160" w:line="480" w:lineRule="auto"/>
              <w:jc w:val="left"/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</w:pPr>
            <w:r w:rsidRPr="00DB0C21">
              <w:rPr>
                <w:rFonts w:ascii="Times New Roman" w:eastAsia="ＭＳ 明朝" w:hAnsi="Times New Roman" w:cs="Times New Roman"/>
                <w:kern w:val="0"/>
                <w:sz w:val="20"/>
                <w:szCs w:val="20"/>
              </w:rPr>
              <w:t>Susceptibility testing used blood samples in all cases except for case 4, for which ocular samples were used (both aqueous and vitreous samples in this case returned the same result).</w:t>
            </w:r>
            <w:bookmarkStart w:id="0" w:name="_GoBack"/>
            <w:bookmarkEnd w:id="0"/>
          </w:p>
        </w:tc>
      </w:tr>
    </w:tbl>
    <w:p w14:paraId="25FB2C9D" w14:textId="77777777" w:rsidR="001E7493" w:rsidRPr="00A53D30" w:rsidRDefault="001E7493">
      <w:pPr>
        <w:rPr>
          <w:lang w:val="en-GB"/>
        </w:rPr>
      </w:pPr>
    </w:p>
    <w:sectPr w:rsidR="001E7493" w:rsidRPr="00A53D3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0C02D6" w14:textId="77777777" w:rsidR="00907347" w:rsidRDefault="00907347" w:rsidP="00E320F0">
      <w:r>
        <w:separator/>
      </w:r>
    </w:p>
  </w:endnote>
  <w:endnote w:type="continuationSeparator" w:id="0">
    <w:p w14:paraId="35F40834" w14:textId="77777777" w:rsidR="00907347" w:rsidRDefault="00907347" w:rsidP="00E32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E6AC09" w14:textId="77777777" w:rsidR="00907347" w:rsidRDefault="00907347" w:rsidP="00E320F0">
      <w:r>
        <w:separator/>
      </w:r>
    </w:p>
  </w:footnote>
  <w:footnote w:type="continuationSeparator" w:id="0">
    <w:p w14:paraId="59AB196E" w14:textId="77777777" w:rsidR="00907347" w:rsidRDefault="00907347" w:rsidP="00E32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D30"/>
    <w:rsid w:val="0000455F"/>
    <w:rsid w:val="001E7493"/>
    <w:rsid w:val="002751A9"/>
    <w:rsid w:val="003E49EB"/>
    <w:rsid w:val="00514680"/>
    <w:rsid w:val="00907347"/>
    <w:rsid w:val="00A53D30"/>
    <w:rsid w:val="00C5791E"/>
    <w:rsid w:val="00C6458B"/>
    <w:rsid w:val="00DB0C21"/>
    <w:rsid w:val="00E320F0"/>
    <w:rsid w:val="00E63B3B"/>
    <w:rsid w:val="00E9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9D99BE"/>
  <w15:chartTrackingRefBased/>
  <w15:docId w15:val="{35DA6050-7461-47C7-A0F6-69BEA26CC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20F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320F0"/>
  </w:style>
  <w:style w:type="paragraph" w:styleId="a5">
    <w:name w:val="footer"/>
    <w:basedOn w:val="a"/>
    <w:link w:val="a6"/>
    <w:uiPriority w:val="99"/>
    <w:unhideWhenUsed/>
    <w:rsid w:val="00E320F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320F0"/>
  </w:style>
  <w:style w:type="paragraph" w:styleId="a7">
    <w:name w:val="Balloon Text"/>
    <w:basedOn w:val="a"/>
    <w:link w:val="a8"/>
    <w:uiPriority w:val="99"/>
    <w:semiHidden/>
    <w:unhideWhenUsed/>
    <w:rsid w:val="002751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751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真彰 吉田</dc:creator>
  <cp:keywords/>
  <dc:description/>
  <cp:lastModifiedBy>真彰 吉田</cp:lastModifiedBy>
  <cp:revision>2</cp:revision>
  <dcterms:created xsi:type="dcterms:W3CDTF">2020-02-13T00:40:00Z</dcterms:created>
  <dcterms:modified xsi:type="dcterms:W3CDTF">2020-02-13T00:40:00Z</dcterms:modified>
</cp:coreProperties>
</file>